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4035" w14:textId="0727C309" w:rsidR="00FC0F79" w:rsidRPr="007F4305" w:rsidRDefault="005B1DB5" w:rsidP="00EC3618">
      <w:pPr>
        <w:pStyle w:val="Nadpis1"/>
        <w:numPr>
          <w:ilvl w:val="0"/>
          <w:numId w:val="0"/>
        </w:numPr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  <w:r w:rsidRPr="007F4305">
        <w:rPr>
          <w:rFonts w:ascii="Arial" w:hAnsi="Arial" w:cs="Arial"/>
          <w:sz w:val="20"/>
          <w:szCs w:val="20"/>
        </w:rPr>
        <w:t xml:space="preserve">Povinně zveřejňované informace ve smyslu zákona č. 106/1999 Sb. o svobodném přístupu k informacím, v platném znění, a navazující vyhlášky </w:t>
      </w:r>
      <w:r w:rsidR="00EC3618" w:rsidRPr="007F4305">
        <w:rPr>
          <w:rFonts w:ascii="Arial" w:hAnsi="Arial" w:cs="Arial"/>
          <w:sz w:val="20"/>
          <w:szCs w:val="20"/>
        </w:rPr>
        <w:t>č. 515/2020 Sb., o struktuře informací zveřejňovaných o povinném subjektu a o osnově popisu úkonů vykonávaných v rámci agendy</w:t>
      </w:r>
    </w:p>
    <w:tbl>
      <w:tblPr>
        <w:tblStyle w:val="Mkatabulky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2748"/>
        <w:gridCol w:w="6312"/>
      </w:tblGrid>
      <w:tr w:rsidR="00FC0F79" w:rsidRPr="007F4305" w14:paraId="20109914" w14:textId="77777777" w:rsidTr="007F4305">
        <w:trPr>
          <w:trHeight w:val="6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A5ADFC" w14:textId="77777777" w:rsidR="00FC0F79" w:rsidRPr="007F4305" w:rsidRDefault="00FC0F79" w:rsidP="00FC0F79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E11E26"/>
                <w:sz w:val="20"/>
                <w:szCs w:val="20"/>
              </w:rPr>
              <w:t>Povinně zveřejňované informace o povinném subjektu</w:t>
            </w:r>
          </w:p>
        </w:tc>
      </w:tr>
      <w:tr w:rsidR="00FC0F79" w:rsidRPr="007F4305" w14:paraId="019AF16B" w14:textId="77777777" w:rsidTr="007F4305">
        <w:trPr>
          <w:trHeight w:val="70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CD69C2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1) Název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5F1AFB" w14:textId="668F9559" w:rsidR="00FC0F79" w:rsidRPr="007F4305" w:rsidRDefault="004E4565" w:rsidP="002305D2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ČEZ Obnovitelné zdroje, s.r.o.</w:t>
            </w:r>
          </w:p>
        </w:tc>
      </w:tr>
      <w:tr w:rsidR="00FC0F79" w:rsidRPr="007F4305" w14:paraId="2D959AEE" w14:textId="77777777" w:rsidTr="007F4305">
        <w:trPr>
          <w:trHeight w:val="135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4E5E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2) Důvod a způsob založení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1735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Společnost ČEZ Obnovitelné zdroje, s.r.o., je společností s ručením </w:t>
            </w:r>
          </w:p>
          <w:p w14:paraId="520C183B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omezeným, která byla založena jako 100% dceřiná společnost ČEZ, </w:t>
            </w:r>
          </w:p>
          <w:p w14:paraId="350A7051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a. s., je členem koncernu ČEZ.</w:t>
            </w:r>
          </w:p>
          <w:p w14:paraId="6C83A7F1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Působnost společnosti se řídí zejména zák. č. 89/2012 Sb., občanský </w:t>
            </w:r>
          </w:p>
          <w:p w14:paraId="11CEC48F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zákoník, ve znění pozdějších předpisů, a zák. č. 90/2012 Sb., o </w:t>
            </w:r>
          </w:p>
          <w:p w14:paraId="44576D1A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obchodních společnostech a družstvech (zákon o obchodních </w:t>
            </w:r>
          </w:p>
          <w:p w14:paraId="69015F66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korporacích), ve znění pozdějších předpisů. Nadřízeným správním </w:t>
            </w:r>
          </w:p>
          <w:p w14:paraId="74B5CDE7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orgánem ve smyslu § 20 odst. 5 zák. č. 106/1999 Sb., o svobodném </w:t>
            </w:r>
          </w:p>
          <w:p w14:paraId="7DA90ECD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přístupu k informacím, ve znění pozdějších předpisů, je Úřad pro </w:t>
            </w:r>
          </w:p>
          <w:p w14:paraId="59A9C04A" w14:textId="77777777" w:rsidR="004E4565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ochranu osobních údajů.</w:t>
            </w:r>
          </w:p>
          <w:p w14:paraId="2302D854" w14:textId="6042AD6C" w:rsidR="006A74D6" w:rsidRPr="007F4305" w:rsidRDefault="004E4565" w:rsidP="004E456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Základní údaje o společnosti jsou uvedeny zde:</w:t>
            </w:r>
          </w:p>
          <w:p w14:paraId="2EC74457" w14:textId="2CD7C493" w:rsidR="006A74D6" w:rsidRPr="007F4305" w:rsidRDefault="007F4305" w:rsidP="002305D2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4E4565" w:rsidRPr="007F4305">
                <w:rPr>
                  <w:rStyle w:val="Hypertextovodkaz"/>
                  <w:rFonts w:ascii="Arial" w:eastAsia="Times New Roman" w:hAnsi="Arial" w:cs="Arial"/>
                  <w:sz w:val="20"/>
                  <w:szCs w:val="20"/>
                </w:rPr>
                <w:t>https://www.cez.cz/cs/o-cez/skupina-cez/vyznamne-spolecnosti-skupiny-cez/cez-obnovitelne-zdroje</w:t>
              </w:r>
            </w:hyperlink>
          </w:p>
        </w:tc>
      </w:tr>
      <w:tr w:rsidR="00FC0F79" w:rsidRPr="007F4305" w14:paraId="1CBCD238" w14:textId="77777777" w:rsidTr="007F4305">
        <w:trPr>
          <w:trHeight w:val="106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6C12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3) Organizační struktura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827" w14:textId="77777777" w:rsidR="004E4565" w:rsidRPr="007F4305" w:rsidRDefault="004E4565" w:rsidP="004E4565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Orgány společnosti jsou rada jednatelů, dozorčí rada a valná </w:t>
            </w:r>
          </w:p>
          <w:p w14:paraId="31354C27" w14:textId="4BF58DB6" w:rsidR="00FC0F79" w:rsidRPr="007F4305" w:rsidRDefault="004E4565" w:rsidP="004E4565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hromada. Více zde:</w:t>
            </w:r>
          </w:p>
          <w:p w14:paraId="50EFDB4C" w14:textId="4222C7E8" w:rsidR="006A74D6" w:rsidRPr="007F4305" w:rsidRDefault="007F4305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4E4565" w:rsidRPr="007F4305">
                <w:rPr>
                  <w:rStyle w:val="Hypertextovodkaz"/>
                  <w:rFonts w:ascii="Arial" w:eastAsia="Times New Roman" w:hAnsi="Arial" w:cs="Arial"/>
                  <w:sz w:val="20"/>
                  <w:szCs w:val="20"/>
                </w:rPr>
                <w:t>https://www.cez.cz/cs/o-cez/skupina-cez/vyznamne-spolecnosti-skupiny-cez/cez-obnovitelne-zdroje/informace-o-spolecnosti</w:t>
              </w:r>
            </w:hyperlink>
          </w:p>
        </w:tc>
      </w:tr>
      <w:tr w:rsidR="00FC0F79" w:rsidRPr="007F4305" w14:paraId="4A543175" w14:textId="77777777" w:rsidTr="007F4305">
        <w:trPr>
          <w:trHeight w:val="7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7F7F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4) Kontaktní spojení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FE8" w14:textId="4F9940EE" w:rsidR="005F5959" w:rsidRPr="007F4305" w:rsidRDefault="005F5959" w:rsidP="006A74D6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Viz odkaz:</w:t>
            </w:r>
          </w:p>
          <w:p w14:paraId="3CFCD3C0" w14:textId="393CD1A2" w:rsidR="00795C51" w:rsidRPr="007F4305" w:rsidRDefault="007F4305" w:rsidP="006A74D6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4E4565" w:rsidRPr="007F4305">
                <w:rPr>
                  <w:rStyle w:val="Hypertextovodkaz"/>
                  <w:rFonts w:ascii="Arial" w:eastAsia="Times New Roman" w:hAnsi="Arial" w:cs="Arial"/>
                  <w:sz w:val="20"/>
                  <w:szCs w:val="20"/>
                </w:rPr>
                <w:t>https://www.cez.cz/cs/o-cez/cez/zakladni-udaje-o-spolecnosti</w:t>
              </w:r>
            </w:hyperlink>
          </w:p>
        </w:tc>
      </w:tr>
      <w:tr w:rsidR="00FC0F79" w:rsidRPr="007F4305" w14:paraId="415D3B5F" w14:textId="77777777" w:rsidTr="007F4305">
        <w:trPr>
          <w:trHeight w:val="7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500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4.1) Kontaktní poštovní adresa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54C318" w14:textId="30D7161C" w:rsidR="00795C51" w:rsidRPr="007F4305" w:rsidRDefault="004E4565" w:rsidP="00795C51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ČEZ Obnovitelné zdroje, s.r.o.</w:t>
            </w:r>
          </w:p>
          <w:p w14:paraId="7ECD72EA" w14:textId="352C3998" w:rsidR="00795C51" w:rsidRPr="007F4305" w:rsidRDefault="00795C51" w:rsidP="00795C51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Duhová </w:t>
            </w:r>
            <w:r w:rsidR="004E4565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1444/2</w:t>
            </w:r>
          </w:p>
          <w:p w14:paraId="68DA14BE" w14:textId="69DE848A" w:rsidR="00795C51" w:rsidRPr="007F4305" w:rsidRDefault="00795C51" w:rsidP="00795C51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Praha 4 – Michle</w:t>
            </w:r>
            <w:r w:rsidR="007F4305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140 </w:t>
            </w:r>
            <w:r w:rsidR="004E4565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00</w:t>
            </w:r>
          </w:p>
          <w:p w14:paraId="0E35CF45" w14:textId="07FBC709" w:rsidR="00FC0F79" w:rsidRPr="007F4305" w:rsidRDefault="00795C51" w:rsidP="00795C51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(Sídlo)</w:t>
            </w:r>
          </w:p>
        </w:tc>
      </w:tr>
      <w:tr w:rsidR="00FC0F79" w:rsidRPr="007F4305" w14:paraId="52FFF16F" w14:textId="77777777" w:rsidTr="007F4305">
        <w:trPr>
          <w:trHeight w:val="7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72EB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4.2) Adresa úřadovny pro osobní návštěvu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05F1D59" w14:textId="18D37095" w:rsidR="00795C51" w:rsidRPr="007F4305" w:rsidRDefault="004E4565" w:rsidP="00795C51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ČEZ Obnovitelné zdroje, s.r.o.</w:t>
            </w:r>
          </w:p>
          <w:p w14:paraId="2BF5A624" w14:textId="0D5374BB" w:rsidR="00795C51" w:rsidRPr="007F4305" w:rsidRDefault="004E4565" w:rsidP="00795C51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 Brumlovkou 1559/5</w:t>
            </w:r>
          </w:p>
          <w:p w14:paraId="22347F2F" w14:textId="629997C2" w:rsidR="00FC0F79" w:rsidRPr="007F4305" w:rsidRDefault="00795C51" w:rsidP="007F4305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Praha 4 – Michle</w:t>
            </w:r>
            <w:r w:rsidR="007F4305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140 </w:t>
            </w:r>
            <w:r w:rsidR="004E4565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00</w:t>
            </w:r>
          </w:p>
        </w:tc>
      </w:tr>
      <w:tr w:rsidR="00FC0F79" w:rsidRPr="007F4305" w14:paraId="1BCC3658" w14:textId="77777777" w:rsidTr="007F4305">
        <w:trPr>
          <w:trHeight w:val="7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147A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4.3) Úřední hodiny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C46E67" w14:textId="35A0C8CC" w:rsidR="00FC0F79" w:rsidRPr="007F4305" w:rsidRDefault="00795C51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Úřední hodiny jsou stanoveny v rámci úřadovny na adrese </w:t>
            </w:r>
            <w:r w:rsidR="004E4565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 Brumlovkou 1559/5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E4565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Praha 4 – Michle, 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 to každou středu 9:00 -15:00 hod.</w:t>
            </w:r>
          </w:p>
        </w:tc>
      </w:tr>
      <w:tr w:rsidR="00FC0F79" w:rsidRPr="007F4305" w14:paraId="2582BFC3" w14:textId="77777777" w:rsidTr="007F4305">
        <w:trPr>
          <w:trHeight w:val="7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80B" w14:textId="69994CCD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4.4) Telefonní čísl</w:t>
            </w:r>
            <w:r w:rsid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68B8B5" w14:textId="0602D4E1" w:rsidR="00FC0F79" w:rsidRPr="007F4305" w:rsidRDefault="007F4305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FC0F79" w:rsidRPr="007F4305" w14:paraId="14CF8350" w14:textId="77777777" w:rsidTr="007F4305">
        <w:trPr>
          <w:trHeight w:val="7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64AC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4.5) Adresa internetových stránek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39E33E" w14:textId="226F2E78" w:rsidR="00795C51" w:rsidRPr="007F4305" w:rsidRDefault="007F4305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4E4565" w:rsidRPr="007F4305">
                <w:rPr>
                  <w:rStyle w:val="Hypertextovodkaz"/>
                  <w:rFonts w:ascii="Arial" w:eastAsia="Times New Roman" w:hAnsi="Arial" w:cs="Arial"/>
                  <w:sz w:val="20"/>
                  <w:szCs w:val="20"/>
                </w:rPr>
                <w:t>https://www.cez.cz/cs/o-cez/skupina-cez/vyznamne-spolecnosti-skupiny-cez/cez-obnovitelne-zdroje/informace-o-spolecnosti</w:t>
              </w:r>
            </w:hyperlink>
          </w:p>
        </w:tc>
      </w:tr>
      <w:tr w:rsidR="00FC0F79" w:rsidRPr="007F4305" w14:paraId="36925B54" w14:textId="77777777" w:rsidTr="007F4305">
        <w:trPr>
          <w:trHeight w:val="7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59F8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4.6) Adresa podatelny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95F8C8" w14:textId="77777777" w:rsidR="004E4565" w:rsidRPr="007F4305" w:rsidRDefault="004E4565" w:rsidP="004E4565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ČEZ Obnovitelné zdroje, s.r.o.</w:t>
            </w:r>
          </w:p>
          <w:p w14:paraId="6B75F176" w14:textId="77777777" w:rsidR="004E4565" w:rsidRPr="007F4305" w:rsidRDefault="004E4565" w:rsidP="004E4565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Duhová 1444/2</w:t>
            </w:r>
          </w:p>
          <w:p w14:paraId="67A16AFD" w14:textId="76EDF051" w:rsidR="00FC0F79" w:rsidRPr="007F4305" w:rsidRDefault="004E4565" w:rsidP="007F4305">
            <w:pPr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Praha 4 – Michle</w:t>
            </w:r>
            <w:r w:rsid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140 00</w:t>
            </w:r>
          </w:p>
        </w:tc>
      </w:tr>
      <w:tr w:rsidR="00FC0F79" w:rsidRPr="007F4305" w14:paraId="60A0D2BF" w14:textId="77777777" w:rsidTr="007F4305">
        <w:trPr>
          <w:trHeight w:val="76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832E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4.7) Elektronická adresa podatelny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A33124" w14:textId="05E62580" w:rsidR="00FC0F79" w:rsidRPr="007F4305" w:rsidRDefault="00E36F6A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cezoze@cez.cz</w:t>
            </w:r>
          </w:p>
        </w:tc>
      </w:tr>
      <w:tr w:rsidR="00FC0F79" w:rsidRPr="007F4305" w14:paraId="0CE0047C" w14:textId="77777777" w:rsidTr="007F4305">
        <w:trPr>
          <w:trHeight w:val="80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CAB9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4.8) Datová schránka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8ACCCF" w14:textId="1F9044F1" w:rsidR="00FC0F79" w:rsidRPr="007F4305" w:rsidRDefault="00E36F6A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ci5xkwx</w:t>
            </w:r>
          </w:p>
        </w:tc>
      </w:tr>
      <w:tr w:rsidR="00FC0F79" w:rsidRPr="007F4305" w14:paraId="137A6C59" w14:textId="77777777" w:rsidTr="007F4305">
        <w:trPr>
          <w:trHeight w:val="70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B003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5) Případné platby lze poukázat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2527F4" w14:textId="152C1E96" w:rsidR="00FC0F79" w:rsidRPr="007F4305" w:rsidRDefault="00E36F6A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č.ú</w:t>
            </w:r>
            <w:proofErr w:type="spellEnd"/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27-2016940207/0100</w:t>
            </w:r>
          </w:p>
        </w:tc>
      </w:tr>
      <w:tr w:rsidR="00FC0F79" w:rsidRPr="007F4305" w14:paraId="62133FAF" w14:textId="77777777" w:rsidTr="007F4305">
        <w:trPr>
          <w:trHeight w:val="52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85B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6) IČO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233A37A" w14:textId="6A4D5EC4" w:rsidR="00FC0F79" w:rsidRPr="007F4305" w:rsidRDefault="00E36F6A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25938924</w:t>
            </w:r>
          </w:p>
        </w:tc>
      </w:tr>
      <w:tr w:rsidR="00FC0F79" w:rsidRPr="007F4305" w14:paraId="65A67C75" w14:textId="77777777" w:rsidTr="007F4305">
        <w:trPr>
          <w:trHeight w:val="83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F78A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7) Plátce daně z přidané hodnoty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EB303D" w14:textId="4A00E51A" w:rsidR="00FC0F79" w:rsidRPr="007F4305" w:rsidRDefault="00E36F6A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CZ25938924</w:t>
            </w:r>
          </w:p>
        </w:tc>
      </w:tr>
      <w:tr w:rsidR="00FC0F79" w:rsidRPr="007F4305" w14:paraId="7EE5D8BB" w14:textId="77777777" w:rsidTr="007F4305">
        <w:trPr>
          <w:trHeight w:val="43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8EB6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8) Dokumenty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CCBFC6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FC0F79" w:rsidRPr="007F4305" w14:paraId="4318A40E" w14:textId="77777777" w:rsidTr="007F4305">
        <w:trPr>
          <w:trHeight w:val="90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7AEA" w14:textId="4B864E56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8.1)</w:t>
            </w:r>
            <w:r w:rsidR="00627C22"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Seznamy hlavních dokumentů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A49EBA" w14:textId="77777777" w:rsidR="00363C75" w:rsidRPr="007F4305" w:rsidRDefault="00363C75" w:rsidP="00363C75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Zakladatelská listina, výroční zprávy, zprávy o udržitelném rozvoji, </w:t>
            </w:r>
          </w:p>
          <w:p w14:paraId="0A503BF4" w14:textId="2D6A1213" w:rsidR="00D213DD" w:rsidRPr="007F4305" w:rsidRDefault="00363C75" w:rsidP="00363C75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koncepce podnikatelské činnosti</w:t>
            </w:r>
          </w:p>
        </w:tc>
      </w:tr>
      <w:tr w:rsidR="00FC0F79" w:rsidRPr="007F4305" w14:paraId="6467326E" w14:textId="77777777" w:rsidTr="007F4305">
        <w:trPr>
          <w:trHeight w:val="41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9191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8.2) Rozpočet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8F3167" w14:textId="255B6EB8" w:rsidR="00A50427" w:rsidRPr="007F4305" w:rsidRDefault="00363C75" w:rsidP="0019468B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Účetní závěrky, které jsou součástí výročních zpráv. </w:t>
            </w:r>
          </w:p>
        </w:tc>
      </w:tr>
      <w:tr w:rsidR="00FC0F79" w:rsidRPr="007F4305" w14:paraId="1E100722" w14:textId="77777777" w:rsidTr="007F4305">
        <w:trPr>
          <w:trHeight w:val="94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8305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9) Žádosti o informace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DD4796" w14:textId="323947F6" w:rsidR="00762364" w:rsidRPr="007F4305" w:rsidRDefault="00762364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Žádosti po poskytnutí informac</w:t>
            </w:r>
            <w:r w:rsidR="002305D2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dle zák. č. 106/1999 Sb., o svobodném přístupu k informacím, ve znění pozdějších předpisů, lze podat zejména </w:t>
            </w:r>
            <w:r w:rsidR="002305D2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 listinné podobě prostřednictvím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305D2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provozovatele poštovních služeb, popř. osobně</w:t>
            </w:r>
            <w:r w:rsidR="00A50427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v sídle společnosti</w:t>
            </w:r>
            <w:r w:rsidR="002305D2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Dále je možné žádosti podat elektronicky do 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výše uvedené datové schránky</w:t>
            </w:r>
            <w:r w:rsidR="00A50427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="002305D2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na výše uvedenou e-mailovou adresu. </w:t>
            </w:r>
          </w:p>
        </w:tc>
      </w:tr>
      <w:tr w:rsidR="00FC0F79" w:rsidRPr="007F4305" w14:paraId="2ABE0EC5" w14:textId="77777777" w:rsidTr="007F4305">
        <w:trPr>
          <w:trHeight w:val="123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5B52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10) Příjem podání a podnětů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324CEE" w14:textId="55E0C946" w:rsidR="00FC0F79" w:rsidRPr="007F4305" w:rsidRDefault="006A19CF" w:rsidP="002305D2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Podání lze učinit všemi způsoby, které předpokládá </w:t>
            </w:r>
            <w:r w:rsidR="002305D2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zák. č. 500/2004 Sb., s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právní řád</w:t>
            </w:r>
            <w:r w:rsidR="002305D2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ve znění pozdějších předpisů,</w:t>
            </w: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či jiné předpisy vztahující se k příslušnému typu podání. Zejména je lze učinit v listinné formě, elektronicky nebo prostřednictvím datové schránky, a to dle kontaktů uvedených výše.</w:t>
            </w:r>
          </w:p>
        </w:tc>
      </w:tr>
      <w:tr w:rsidR="00FC0F79" w:rsidRPr="007F4305" w14:paraId="6CD5B5A7" w14:textId="77777777" w:rsidTr="007F4305">
        <w:trPr>
          <w:trHeight w:val="48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59E8" w14:textId="29C3EDC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11) Předpisy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0AF7EB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FC0F79" w:rsidRPr="007F4305" w14:paraId="75AEFB7D" w14:textId="77777777" w:rsidTr="007F4305">
        <w:trPr>
          <w:trHeight w:val="121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CC37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11.1) Nejdůležitější používané předpisy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FAE0DF" w14:textId="4F403D1C" w:rsidR="002305D2" w:rsidRPr="007F4305" w:rsidRDefault="002305D2" w:rsidP="002305D2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zák. č. 106/1999 Sb., o svobodném přístupu k informacím, ve znění pozdějších předpisů,</w:t>
            </w:r>
          </w:p>
          <w:p w14:paraId="6E753216" w14:textId="1ED14A9E" w:rsidR="002305D2" w:rsidRPr="007F4305" w:rsidRDefault="002305D2" w:rsidP="002305D2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zák. č. 500/2004 Sb., správní řád, ve znění pozdějších předpisů,</w:t>
            </w:r>
          </w:p>
          <w:p w14:paraId="5A9185DB" w14:textId="77777777" w:rsidR="002305D2" w:rsidRPr="007F4305" w:rsidRDefault="002305D2" w:rsidP="002305D2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zák. č.  297/2016 Sb., o službách vytvářejících důvěru pro elektronické transakce, ve znění pozdějších předpisů</w:t>
            </w:r>
          </w:p>
          <w:p w14:paraId="63BB3D5E" w14:textId="0480C58C" w:rsidR="002305D2" w:rsidRPr="007F4305" w:rsidRDefault="002305D2" w:rsidP="002305D2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Uvedené právní předpisy jsou k dispozici zde:</w:t>
            </w:r>
          </w:p>
          <w:p w14:paraId="62F54041" w14:textId="092BE3DD" w:rsidR="002305D2" w:rsidRPr="007F4305" w:rsidRDefault="007F4305" w:rsidP="002305D2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2305D2" w:rsidRPr="007F4305">
                <w:rPr>
                  <w:rStyle w:val="Hypertextovodkaz"/>
                  <w:rFonts w:ascii="Arial" w:eastAsia="Times New Roman" w:hAnsi="Arial" w:cs="Arial"/>
                  <w:sz w:val="20"/>
                  <w:szCs w:val="20"/>
                </w:rPr>
                <w:t>https://aplikace.mvcr.cz/sbirka-zakonu/</w:t>
              </w:r>
            </w:hyperlink>
          </w:p>
        </w:tc>
      </w:tr>
      <w:tr w:rsidR="00FC0F79" w:rsidRPr="007F4305" w14:paraId="71EBA244" w14:textId="77777777" w:rsidTr="007F4305">
        <w:trPr>
          <w:trHeight w:val="79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09B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11.2) Vydané právní předpisy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055071" w14:textId="3265C12A" w:rsidR="00FC0F79" w:rsidRPr="007F4305" w:rsidRDefault="002305D2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FC0F79" w:rsidRPr="007F4305" w14:paraId="60D9142E" w14:textId="77777777" w:rsidTr="007F4305">
        <w:trPr>
          <w:trHeight w:val="79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2C7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12.) Úhrady za poskytování informací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BAA1AC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FC0F79" w:rsidRPr="007F4305" w14:paraId="565E6D7C" w14:textId="77777777" w:rsidTr="007F4305">
        <w:trPr>
          <w:trHeight w:val="64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A9B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12.1) Sazebník úhrad za poskytování informací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A628EF" w14:textId="2683329B" w:rsidR="00FC0F79" w:rsidRPr="007F4305" w:rsidRDefault="002305D2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Sazebník úhrad je dostupný zde:</w:t>
            </w:r>
          </w:p>
          <w:p w14:paraId="1D516362" w14:textId="73A4B1B8" w:rsidR="002305D2" w:rsidRPr="007F4305" w:rsidRDefault="007F4305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363C75" w:rsidRPr="007F4305">
                <w:rPr>
                  <w:rStyle w:val="Hypertextovodkaz"/>
                  <w:rFonts w:ascii="Arial" w:eastAsia="Times New Roman" w:hAnsi="Arial" w:cs="Arial"/>
                  <w:sz w:val="20"/>
                  <w:szCs w:val="20"/>
                </w:rPr>
                <w:t>https://www.cez.cz/cs/o-cez/cez/poskytovani-informaci-dle-zakona-c.-106-1999-sb/sazebnik-uhrad-nakladu-za-poskytovani-informaci</w:t>
              </w:r>
            </w:hyperlink>
          </w:p>
        </w:tc>
      </w:tr>
      <w:tr w:rsidR="00FC0F79" w:rsidRPr="007F4305" w14:paraId="7F86BF03" w14:textId="77777777" w:rsidTr="007F4305">
        <w:trPr>
          <w:trHeight w:val="90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1871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12.2) Rozhodnutí nadřízeného orgánu o výši úhrad za poskytnutí informací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05A48D" w14:textId="1ACDDF59" w:rsidR="00FC0F79" w:rsidRPr="007F4305" w:rsidRDefault="005F5959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Nadřízený orgán dosud nerozhodoval o žádné stížnosti na výši úhrady za poskytnutí informací</w:t>
            </w:r>
            <w:r w:rsidR="00A50427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FC0F79" w:rsidRPr="007F4305" w14:paraId="4AD45285" w14:textId="77777777" w:rsidTr="007F4305">
        <w:trPr>
          <w:trHeight w:val="573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D7CA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13) Licenční smlouvy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154A69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FC0F79" w:rsidRPr="007F4305" w14:paraId="0DB7CE24" w14:textId="77777777" w:rsidTr="007F4305">
        <w:trPr>
          <w:trHeight w:val="83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E90E2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13.1) Vzory licenčních smluv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B8FC68" w14:textId="4819BF75" w:rsidR="00FC0F79" w:rsidRPr="007F4305" w:rsidRDefault="000931F4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Nejsou využívány</w:t>
            </w:r>
            <w:r w:rsidR="005A1106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FC0F79" w:rsidRPr="007F4305" w14:paraId="60E6AAEC" w14:textId="77777777" w:rsidTr="007F4305">
        <w:trPr>
          <w:trHeight w:val="69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2EF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13.2) Výhradní licence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B98315" w14:textId="174E2E1E" w:rsidR="00FC0F79" w:rsidRPr="007F4305" w:rsidRDefault="000931F4" w:rsidP="00FC0F79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Nejsou využívány</w:t>
            </w:r>
            <w:r w:rsidR="005A1106" w:rsidRPr="007F43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FC0F79" w:rsidRPr="007F4305" w14:paraId="0985734E" w14:textId="77777777" w:rsidTr="007F4305">
        <w:trPr>
          <w:trHeight w:val="111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7F7" w14:textId="77777777" w:rsidR="00FC0F79" w:rsidRPr="007F4305" w:rsidRDefault="00FC0F79" w:rsidP="00FC0F7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F430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14) Výroční zpráva podle zákona o svobodném přístupu k informacím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96353E" w14:textId="27BAAD55" w:rsidR="00FC0F79" w:rsidRPr="007F4305" w:rsidRDefault="007F4305" w:rsidP="00FC0F79">
            <w:pPr>
              <w:spacing w:before="120" w:after="120" w:line="276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hyperlink r:id="rId13" w:history="1">
              <w:r w:rsidR="00363C75" w:rsidRPr="007F4305">
                <w:rPr>
                  <w:rStyle w:val="Hypertextovodkaz"/>
                  <w:rFonts w:ascii="Arial" w:eastAsia="Times New Roman" w:hAnsi="Arial" w:cs="Arial"/>
                  <w:sz w:val="20"/>
                  <w:szCs w:val="20"/>
                </w:rPr>
                <w:t>https://www.cez.cz/cs/o-cez/skupina-cez/vyznamne-spolecnosti-skupiny-cez/cez-obnovitelne-zdroje/poskytovani-informaci-dle-zakona-c.-106-1999-sb/povinne-zverejnovane-informace-o-povinnem-subjektu</w:t>
              </w:r>
            </w:hyperlink>
          </w:p>
        </w:tc>
      </w:tr>
    </w:tbl>
    <w:p w14:paraId="5AA00EA5" w14:textId="7B400CFF" w:rsidR="00E62D2C" w:rsidRDefault="00E62D2C" w:rsidP="00FC0F79">
      <w:pPr>
        <w:spacing w:before="120" w:after="120" w:line="276" w:lineRule="auto"/>
        <w:rPr>
          <w:rFonts w:ascii="Times New Roman" w:hAnsi="Times New Roman" w:cs="Times New Roman"/>
        </w:rPr>
      </w:pPr>
    </w:p>
    <w:sectPr w:rsidR="00E62D2C" w:rsidSect="002A3093">
      <w:head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2112" w14:textId="77777777" w:rsidR="004E7D87" w:rsidRDefault="004E7D87" w:rsidP="00FC0F79">
      <w:pPr>
        <w:spacing w:after="0" w:line="240" w:lineRule="auto"/>
      </w:pPr>
      <w:r>
        <w:separator/>
      </w:r>
    </w:p>
  </w:endnote>
  <w:endnote w:type="continuationSeparator" w:id="0">
    <w:p w14:paraId="1584879A" w14:textId="77777777" w:rsidR="004E7D87" w:rsidRDefault="004E7D87" w:rsidP="00FC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BF6F" w14:textId="77777777" w:rsidR="004E7D87" w:rsidRDefault="004E7D87" w:rsidP="00FC0F79">
      <w:pPr>
        <w:spacing w:after="0" w:line="240" w:lineRule="auto"/>
      </w:pPr>
      <w:r>
        <w:separator/>
      </w:r>
    </w:p>
  </w:footnote>
  <w:footnote w:type="continuationSeparator" w:id="0">
    <w:p w14:paraId="3C95AD0D" w14:textId="77777777" w:rsidR="004E7D87" w:rsidRDefault="004E7D87" w:rsidP="00FC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3CB5" w14:textId="369FEE2B" w:rsidR="00FC0F79" w:rsidRDefault="00E62D2C" w:rsidP="00E62D2C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B2280B" wp14:editId="66C1A37E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6f744e87aea55e391343148d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5AFB67" w14:textId="6C79673E" w:rsidR="00E62D2C" w:rsidRPr="00E62D2C" w:rsidRDefault="00E62D2C" w:rsidP="00E62D2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2280B" id="_x0000_t202" coordsize="21600,21600" o:spt="202" path="m,l,21600r21600,l21600,xe">
              <v:stroke joinstyle="miter"/>
              <v:path gradientshapeok="t" o:connecttype="rect"/>
            </v:shapetype>
            <v:shape id="MSIPCM6f744e87aea55e391343148d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3D5AFB67" w14:textId="6C79673E" w:rsidR="00E62D2C" w:rsidRPr="00E62D2C" w:rsidRDefault="00E62D2C" w:rsidP="00E62D2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51BC"/>
    <w:multiLevelType w:val="hybridMultilevel"/>
    <w:tmpl w:val="D0E459F0"/>
    <w:lvl w:ilvl="0" w:tplc="5350B71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1909"/>
    <w:multiLevelType w:val="multilevel"/>
    <w:tmpl w:val="7314520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EE3C56"/>
    <w:multiLevelType w:val="hybridMultilevel"/>
    <w:tmpl w:val="F03A8712"/>
    <w:lvl w:ilvl="0" w:tplc="97BEFC04">
      <w:start w:val="1"/>
      <w:numFmt w:val="lowerRoman"/>
      <w:lvlText w:val="%1)"/>
      <w:lvlJc w:val="left"/>
      <w:pPr>
        <w:ind w:left="1840" w:hanging="720"/>
      </w:pPr>
    </w:lvl>
    <w:lvl w:ilvl="1" w:tplc="04050019">
      <w:start w:val="1"/>
      <w:numFmt w:val="lowerLetter"/>
      <w:lvlText w:val="%2."/>
      <w:lvlJc w:val="left"/>
      <w:pPr>
        <w:ind w:left="2200" w:hanging="360"/>
      </w:pPr>
    </w:lvl>
    <w:lvl w:ilvl="2" w:tplc="0405001B">
      <w:start w:val="1"/>
      <w:numFmt w:val="lowerRoman"/>
      <w:lvlText w:val="%3."/>
      <w:lvlJc w:val="right"/>
      <w:pPr>
        <w:ind w:left="2920" w:hanging="180"/>
      </w:pPr>
    </w:lvl>
    <w:lvl w:ilvl="3" w:tplc="0405000F">
      <w:start w:val="1"/>
      <w:numFmt w:val="decimal"/>
      <w:lvlText w:val="%4."/>
      <w:lvlJc w:val="left"/>
      <w:pPr>
        <w:ind w:left="3640" w:hanging="360"/>
      </w:pPr>
    </w:lvl>
    <w:lvl w:ilvl="4" w:tplc="04050019">
      <w:start w:val="1"/>
      <w:numFmt w:val="lowerLetter"/>
      <w:lvlText w:val="%5."/>
      <w:lvlJc w:val="left"/>
      <w:pPr>
        <w:ind w:left="4360" w:hanging="360"/>
      </w:pPr>
    </w:lvl>
    <w:lvl w:ilvl="5" w:tplc="0405001B">
      <w:start w:val="1"/>
      <w:numFmt w:val="lowerRoman"/>
      <w:lvlText w:val="%6."/>
      <w:lvlJc w:val="right"/>
      <w:pPr>
        <w:ind w:left="5080" w:hanging="180"/>
      </w:pPr>
    </w:lvl>
    <w:lvl w:ilvl="6" w:tplc="0405000F">
      <w:start w:val="1"/>
      <w:numFmt w:val="decimal"/>
      <w:lvlText w:val="%7."/>
      <w:lvlJc w:val="left"/>
      <w:pPr>
        <w:ind w:left="5800" w:hanging="360"/>
      </w:pPr>
    </w:lvl>
    <w:lvl w:ilvl="7" w:tplc="04050019">
      <w:start w:val="1"/>
      <w:numFmt w:val="lowerLetter"/>
      <w:lvlText w:val="%8."/>
      <w:lvlJc w:val="left"/>
      <w:pPr>
        <w:ind w:left="6520" w:hanging="360"/>
      </w:pPr>
    </w:lvl>
    <w:lvl w:ilvl="8" w:tplc="0405001B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3B0A26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9E76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3221155">
    <w:abstractNumId w:val="1"/>
  </w:num>
  <w:num w:numId="2" w16cid:durableId="600648419">
    <w:abstractNumId w:val="0"/>
  </w:num>
  <w:num w:numId="3" w16cid:durableId="1853756590">
    <w:abstractNumId w:val="3"/>
  </w:num>
  <w:num w:numId="4" w16cid:durableId="357702305">
    <w:abstractNumId w:val="4"/>
  </w:num>
  <w:num w:numId="5" w16cid:durableId="1976250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79"/>
    <w:rsid w:val="00037B00"/>
    <w:rsid w:val="000931F4"/>
    <w:rsid w:val="00095C84"/>
    <w:rsid w:val="000C7741"/>
    <w:rsid w:val="000C7A53"/>
    <w:rsid w:val="00130A20"/>
    <w:rsid w:val="00140A67"/>
    <w:rsid w:val="00190A2F"/>
    <w:rsid w:val="00192557"/>
    <w:rsid w:val="0019468B"/>
    <w:rsid w:val="001E3D92"/>
    <w:rsid w:val="00206938"/>
    <w:rsid w:val="002305D2"/>
    <w:rsid w:val="002727D3"/>
    <w:rsid w:val="002849C6"/>
    <w:rsid w:val="003150C5"/>
    <w:rsid w:val="00327673"/>
    <w:rsid w:val="00363C75"/>
    <w:rsid w:val="003A7E50"/>
    <w:rsid w:val="003C314C"/>
    <w:rsid w:val="003E0CE0"/>
    <w:rsid w:val="00417D5C"/>
    <w:rsid w:val="00437ADA"/>
    <w:rsid w:val="004962C6"/>
    <w:rsid w:val="004C4A93"/>
    <w:rsid w:val="004C5F18"/>
    <w:rsid w:val="004C74F6"/>
    <w:rsid w:val="004E4565"/>
    <w:rsid w:val="004E7D87"/>
    <w:rsid w:val="005135B8"/>
    <w:rsid w:val="00514BC1"/>
    <w:rsid w:val="00545AF5"/>
    <w:rsid w:val="00574AF2"/>
    <w:rsid w:val="005A1106"/>
    <w:rsid w:val="005B1DB5"/>
    <w:rsid w:val="005B210C"/>
    <w:rsid w:val="005B59B6"/>
    <w:rsid w:val="005C180C"/>
    <w:rsid w:val="005F04E5"/>
    <w:rsid w:val="005F5959"/>
    <w:rsid w:val="00627C22"/>
    <w:rsid w:val="00631FD5"/>
    <w:rsid w:val="00667E7B"/>
    <w:rsid w:val="006A19CF"/>
    <w:rsid w:val="006A74D6"/>
    <w:rsid w:val="006C30E8"/>
    <w:rsid w:val="006E0BAC"/>
    <w:rsid w:val="00720BA4"/>
    <w:rsid w:val="00761FFC"/>
    <w:rsid w:val="00762364"/>
    <w:rsid w:val="0078511E"/>
    <w:rsid w:val="00795C51"/>
    <w:rsid w:val="007C056A"/>
    <w:rsid w:val="007F4305"/>
    <w:rsid w:val="0080037F"/>
    <w:rsid w:val="008E6891"/>
    <w:rsid w:val="00935B98"/>
    <w:rsid w:val="009A58A1"/>
    <w:rsid w:val="009B2A89"/>
    <w:rsid w:val="009E05AA"/>
    <w:rsid w:val="00A50427"/>
    <w:rsid w:val="00AC0913"/>
    <w:rsid w:val="00AD58EE"/>
    <w:rsid w:val="00C066D2"/>
    <w:rsid w:val="00C73C06"/>
    <w:rsid w:val="00CE6ACC"/>
    <w:rsid w:val="00D213DD"/>
    <w:rsid w:val="00D22CF7"/>
    <w:rsid w:val="00DB0FAA"/>
    <w:rsid w:val="00DE314A"/>
    <w:rsid w:val="00E36F6A"/>
    <w:rsid w:val="00E62D2C"/>
    <w:rsid w:val="00E664D2"/>
    <w:rsid w:val="00EC3618"/>
    <w:rsid w:val="00F35B29"/>
    <w:rsid w:val="00F36608"/>
    <w:rsid w:val="00F733D3"/>
    <w:rsid w:val="00FC0F79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8B0296"/>
  <w15:chartTrackingRefBased/>
  <w15:docId w15:val="{06352475-F406-4A03-B8B6-75DAA04A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5D2"/>
  </w:style>
  <w:style w:type="paragraph" w:styleId="Nadpis1">
    <w:name w:val="heading 1"/>
    <w:basedOn w:val="Normln"/>
    <w:next w:val="Normln"/>
    <w:link w:val="Nadpis1Char"/>
    <w:uiPriority w:val="9"/>
    <w:qFormat/>
    <w:rsid w:val="00FC0F79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F79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0F79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0F79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F79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F79"/>
    <w:pPr>
      <w:keepNext/>
      <w:keepLine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F79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F79"/>
    <w:pPr>
      <w:keepNext/>
      <w:keepLines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F79"/>
    <w:pPr>
      <w:keepNext/>
      <w:keepLines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F7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0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0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0F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F7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F7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F7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F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F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FC0F79"/>
    <w:pPr>
      <w:spacing w:before="120" w:after="120" w:line="240" w:lineRule="auto"/>
      <w:jc w:val="both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C0F79"/>
    <w:rPr>
      <w:rFonts w:ascii="Times New Roman" w:hAnsi="Times New Roman" w:cs="Times New Roman"/>
      <w:b/>
      <w:bCs/>
      <w:sz w:val="32"/>
      <w:szCs w:val="32"/>
    </w:rPr>
  </w:style>
  <w:style w:type="table" w:styleId="Mkatabulky">
    <w:name w:val="Table Grid"/>
    <w:basedOn w:val="Normlntabulka"/>
    <w:uiPriority w:val="39"/>
    <w:rsid w:val="00FC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C0F7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FC0F7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FC0F7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C0F79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FC0F79"/>
    <w:pPr>
      <w:spacing w:before="120" w:after="120" w:line="240" w:lineRule="auto"/>
      <w:ind w:left="720"/>
      <w:contextualSpacing/>
      <w:jc w:val="both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0F7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0F7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0F79"/>
    <w:rPr>
      <w:vertAlign w:val="superscript"/>
    </w:rPr>
  </w:style>
  <w:style w:type="character" w:customStyle="1" w:styleId="normaltextrun">
    <w:name w:val="normaltextrun"/>
    <w:basedOn w:val="Standardnpsmoodstavce"/>
    <w:rsid w:val="00FC0F79"/>
  </w:style>
  <w:style w:type="character" w:customStyle="1" w:styleId="spellingerror">
    <w:name w:val="spellingerror"/>
    <w:basedOn w:val="Standardnpsmoodstavce"/>
    <w:rsid w:val="00FC0F79"/>
  </w:style>
  <w:style w:type="character" w:customStyle="1" w:styleId="eop">
    <w:name w:val="eop"/>
    <w:basedOn w:val="Standardnpsmoodstavce"/>
    <w:rsid w:val="00FC0F79"/>
  </w:style>
  <w:style w:type="character" w:styleId="Hypertextovodkaz">
    <w:name w:val="Hyperlink"/>
    <w:basedOn w:val="Standardnpsmoodstavce"/>
    <w:uiPriority w:val="99"/>
    <w:unhideWhenUsed/>
    <w:rsid w:val="00FC0F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0F79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F79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0F79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FC0F79"/>
    <w:rPr>
      <w:sz w:val="16"/>
      <w:szCs w:val="16"/>
    </w:rPr>
  </w:style>
  <w:style w:type="paragraph" w:customStyle="1" w:styleId="l4">
    <w:name w:val="l4"/>
    <w:basedOn w:val="Normln"/>
    <w:rsid w:val="00FC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C0F79"/>
    <w:rPr>
      <w:i/>
      <w:iCs/>
    </w:rPr>
  </w:style>
  <w:style w:type="paragraph" w:styleId="Revize">
    <w:name w:val="Revision"/>
    <w:hidden/>
    <w:uiPriority w:val="99"/>
    <w:semiHidden/>
    <w:rsid w:val="00FC0F7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Text11Char">
    <w:name w:val="Text 1.1 Char"/>
    <w:basedOn w:val="Standardnpsmoodstavce"/>
    <w:link w:val="Text11"/>
    <w:locked/>
    <w:rsid w:val="00FC0F79"/>
    <w:rPr>
      <w:rFonts w:ascii="Times New Roman" w:eastAsia="Times New Roman" w:hAnsi="Times New Roman" w:cs="Times New Roman"/>
      <w:szCs w:val="20"/>
    </w:rPr>
  </w:style>
  <w:style w:type="paragraph" w:customStyle="1" w:styleId="Text11">
    <w:name w:val="Text 1.1"/>
    <w:basedOn w:val="Normln"/>
    <w:link w:val="Text11Char"/>
    <w:qFormat/>
    <w:rsid w:val="00FC0F79"/>
    <w:pPr>
      <w:spacing w:before="120" w:after="120" w:line="240" w:lineRule="auto"/>
      <w:ind w:left="113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FC0F79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79"/>
    <w:rPr>
      <w:rFonts w:ascii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E3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z.cz/cs/o-cez/skupina-cez/vyznamne-spolecnosti-skupiny-cez/cez-obnovitelne-zdroje/informace-o-spolecnosti" TargetMode="External"/><Relationship Id="rId13" Type="http://schemas.openxmlformats.org/officeDocument/2006/relationships/hyperlink" Target="https://www.cez.cz/cs/o-cez/skupina-cez/vyznamne-spolecnosti-skupiny-cez/cez-obnovitelne-zdroje/poskytovani-informaci-dle-zakona-c.-106-1999-sb/povinne-zverejnovane-informace-o-povinnem-subjek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z.cz/cs/o-cez/skupina-cez/vyznamne-spolecnosti-skupiny-cez/cez-obnovitelne-zdroje" TargetMode="External"/><Relationship Id="rId12" Type="http://schemas.openxmlformats.org/officeDocument/2006/relationships/hyperlink" Target="https://www.cez.cz/cs/o-cez/cez/poskytovani-informaci-dle-zakona-c.-106-1999-sb/sazebnik-uhrad-nakladu-za-poskytovani-informac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kace.mvcr.cz/sbirka-zakon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ez.cz/cs/o-cez/skupina-cez/vyznamne-spolecnosti-skupiny-cez/cez-obnovitelne-zdroje/informace-o-spolec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z.cz/cs/o-cez/cez/zakladni-udaje-o-spolecnost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Prudikova Dana</dc:creator>
  <cp:keywords/>
  <dc:description/>
  <cp:lastModifiedBy>Mencl Jiří</cp:lastModifiedBy>
  <cp:revision>4</cp:revision>
  <cp:lastPrinted>2022-08-30T09:43:00Z</cp:lastPrinted>
  <dcterms:created xsi:type="dcterms:W3CDTF">2025-02-20T08:10:00Z</dcterms:created>
  <dcterms:modified xsi:type="dcterms:W3CDTF">2025-02-20T08:53:00Z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2b1512-c507-42e7-a4b2-0c0a603350ec_Enabled">
    <vt:lpwstr>true</vt:lpwstr>
  </property>
  <property fmtid="{D5CDD505-2E9C-101B-9397-08002B2CF9AE}" pid="3" name="MSIP_Label_952b1512-c507-42e7-a4b2-0c0a603350ec_SetDate">
    <vt:lpwstr>2022-10-04T13:09:11Z</vt:lpwstr>
  </property>
  <property fmtid="{D5CDD505-2E9C-101B-9397-08002B2CF9AE}" pid="4" name="MSIP_Label_952b1512-c507-42e7-a4b2-0c0a603350ec_Method">
    <vt:lpwstr>Privileged</vt:lpwstr>
  </property>
  <property fmtid="{D5CDD505-2E9C-101B-9397-08002B2CF9AE}" pid="5" name="MSIP_Label_952b1512-c507-42e7-a4b2-0c0a603350ec_Name">
    <vt:lpwstr>L00008</vt:lpwstr>
  </property>
  <property fmtid="{D5CDD505-2E9C-101B-9397-08002B2CF9AE}" pid="6" name="MSIP_Label_952b1512-c507-42e7-a4b2-0c0a603350ec_SiteId">
    <vt:lpwstr>b233f9e1-5599-4693-9cef-38858fe25406</vt:lpwstr>
  </property>
  <property fmtid="{D5CDD505-2E9C-101B-9397-08002B2CF9AE}" pid="7" name="MSIP_Label_952b1512-c507-42e7-a4b2-0c0a603350ec_ActionId">
    <vt:lpwstr>04f0eb4b-1651-4c62-9512-6ae34e6562d3</vt:lpwstr>
  </property>
  <property fmtid="{D5CDD505-2E9C-101B-9397-08002B2CF9AE}" pid="8" name="MSIP_Label_952b1512-c507-42e7-a4b2-0c0a603350ec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CEZ:CEZ-DGR:C</vt:lpwstr>
  </property>
  <property fmtid="{D5CDD505-2E9C-101B-9397-08002B2CF9AE}" pid="11" name="CEZ_MIPLabelName">
    <vt:lpwstr>Internal-CEZ-DGR</vt:lpwstr>
  </property>
</Properties>
</file>